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F2D7C" w14:textId="3E7C1671" w:rsidR="001039B3" w:rsidRPr="00BF6117" w:rsidRDefault="00000000">
      <w:pPr>
        <w:pStyle w:val="Ttulo2"/>
        <w:jc w:val="center"/>
        <w:rPr>
          <w:rFonts w:ascii="Times New Roman" w:hAnsi="Times New Roman" w:hint="default"/>
          <w:i w:val="0"/>
          <w:iCs/>
          <w:sz w:val="22"/>
          <w:szCs w:val="22"/>
          <w:lang w:val="pt-BR"/>
        </w:rPr>
      </w:pPr>
      <w:r w:rsidRPr="00BF6117">
        <w:rPr>
          <w:rFonts w:ascii="Times New Roman" w:hAnsi="Times New Roman" w:hint="default"/>
          <w:i w:val="0"/>
          <w:iCs/>
          <w:sz w:val="22"/>
          <w:szCs w:val="22"/>
          <w:lang w:val="pt-BR"/>
        </w:rPr>
        <w:t xml:space="preserve">NOTA </w:t>
      </w:r>
      <w:r w:rsidR="002F4224">
        <w:rPr>
          <w:rFonts w:ascii="Times New Roman" w:hAnsi="Times New Roman" w:hint="default"/>
          <w:i w:val="0"/>
          <w:iCs/>
          <w:sz w:val="22"/>
          <w:szCs w:val="22"/>
          <w:lang w:val="pt-BR"/>
        </w:rPr>
        <w:t xml:space="preserve">INFORMATIVA </w:t>
      </w:r>
      <w:r w:rsidRPr="00BF6117">
        <w:rPr>
          <w:rFonts w:ascii="Times New Roman" w:hAnsi="Times New Roman" w:hint="default"/>
          <w:i w:val="0"/>
          <w:iCs/>
          <w:sz w:val="22"/>
          <w:szCs w:val="22"/>
          <w:lang w:val="pt-BR"/>
        </w:rPr>
        <w:t>INSTITUCIONAL</w:t>
      </w:r>
    </w:p>
    <w:p w14:paraId="7E621832" w14:textId="693CF52F" w:rsidR="000D0D5D" w:rsidRDefault="000D0D5D">
      <w:pPr>
        <w:pStyle w:val="NormalWeb"/>
        <w:jc w:val="both"/>
        <w:rPr>
          <w:sz w:val="22"/>
          <w:szCs w:val="22"/>
        </w:rPr>
      </w:pPr>
      <w:r w:rsidRPr="000D0D5D">
        <w:rPr>
          <w:sz w:val="22"/>
          <w:szCs w:val="22"/>
        </w:rPr>
        <w:t>A Universidade Regional do Cariri - URCA, por meio de sua Coordenação Jurídica e Assessoria de Comunicação, vem a público prestar informações sobre as políticas de ações afirmativas, em especial a aplicação do sistema de cotas no mais recente Processo Seletivo de Professor Substituto e Temporário, regido pelo Edital Nº 30/2024-GR, bem como informar acerca das providências adotadas no âmbito do processo judicial em referência.</w:t>
      </w:r>
    </w:p>
    <w:p w14:paraId="120DD882" w14:textId="0EB5AAEE" w:rsidR="001039B3" w:rsidRDefault="00000000">
      <w:pPr>
        <w:pStyle w:val="NormalWeb"/>
        <w:jc w:val="both"/>
        <w:rPr>
          <w:sz w:val="22"/>
          <w:szCs w:val="22"/>
        </w:rPr>
      </w:pPr>
      <w:r>
        <w:rPr>
          <w:sz w:val="22"/>
          <w:szCs w:val="22"/>
        </w:rPr>
        <w:t>Especificamente, a URCA obedece integralmente às disposições da Lei Estadual nº 17.432</w:t>
      </w:r>
      <w:r w:rsidR="00974583">
        <w:rPr>
          <w:sz w:val="22"/>
          <w:szCs w:val="22"/>
        </w:rPr>
        <w:t>/</w:t>
      </w:r>
      <w:r>
        <w:rPr>
          <w:sz w:val="22"/>
          <w:szCs w:val="22"/>
        </w:rPr>
        <w:t>2021, que estabelece a reserva de 20% (vinte por cento) das vagas para candidatos pretos e pardos, e segue os critérios complementares de validação, incluindo o procedimento de heteroidentificação, conforme o Decreto Estadual nº 34.534</w:t>
      </w:r>
      <w:r w:rsidR="00974583">
        <w:rPr>
          <w:sz w:val="22"/>
          <w:szCs w:val="22"/>
        </w:rPr>
        <w:t>/</w:t>
      </w:r>
      <w:r>
        <w:rPr>
          <w:sz w:val="22"/>
          <w:szCs w:val="22"/>
        </w:rPr>
        <w:t>2022, e suas alterações.</w:t>
      </w:r>
    </w:p>
    <w:p w14:paraId="3837AD4C" w14:textId="722C155F" w:rsidR="001039B3" w:rsidRDefault="00000000">
      <w:pPr>
        <w:pStyle w:val="NormalWeb"/>
        <w:jc w:val="both"/>
        <w:rPr>
          <w:sz w:val="22"/>
          <w:szCs w:val="22"/>
        </w:rPr>
      </w:pPr>
      <w:r>
        <w:rPr>
          <w:sz w:val="22"/>
          <w:szCs w:val="22"/>
        </w:rPr>
        <w:t>O Processo Seletivo regido pelo Edital Nº 30/2024-GR, que ofertou 25 (vinte e cinco) vagas para docentes, previu, desde sua publicação, a reserva total de 20% das vagas para candidatos autodeclarados pretos e pardos e 5% para candidatos com deficiência</w:t>
      </w:r>
      <w:r w:rsidR="005F7028">
        <w:rPr>
          <w:sz w:val="22"/>
          <w:szCs w:val="22"/>
        </w:rPr>
        <w:t xml:space="preserve"> (</w:t>
      </w:r>
      <w:r w:rsidR="002F4224">
        <w:rPr>
          <w:sz w:val="22"/>
          <w:szCs w:val="22"/>
        </w:rPr>
        <w:t xml:space="preserve">conforme consta no </w:t>
      </w:r>
      <w:r w:rsidR="002F4224" w:rsidRPr="002F4224">
        <w:rPr>
          <w:sz w:val="22"/>
          <w:szCs w:val="22"/>
        </w:rPr>
        <w:t xml:space="preserve">item 3.3 do </w:t>
      </w:r>
      <w:r w:rsidR="002F4224">
        <w:rPr>
          <w:sz w:val="22"/>
          <w:szCs w:val="22"/>
        </w:rPr>
        <w:t>edital</w:t>
      </w:r>
      <w:r w:rsidR="005F7028">
        <w:rPr>
          <w:sz w:val="22"/>
          <w:szCs w:val="22"/>
        </w:rPr>
        <w:t>)</w:t>
      </w:r>
      <w:r w:rsidR="002F4224">
        <w:rPr>
          <w:sz w:val="22"/>
          <w:szCs w:val="22"/>
        </w:rPr>
        <w:t xml:space="preserve">, </w:t>
      </w:r>
      <w:r>
        <w:rPr>
          <w:sz w:val="22"/>
          <w:szCs w:val="22"/>
        </w:rPr>
        <w:t>em fiel observância ao comando legal.</w:t>
      </w:r>
    </w:p>
    <w:p w14:paraId="7EB8AA21" w14:textId="77777777" w:rsidR="002F4224" w:rsidRDefault="00000000">
      <w:pPr>
        <w:pStyle w:val="NormalWeb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Para garantir a lisura e a correta destinação do benefício, a URCA instituiu a Comissão de Heteroidentificação, assegurando que as autodeclarações fossem devidamente aferidas e validadas, em respeito aos princípios do contraditório e da ampla defesa. A aplicação da política de cotas foi cuidadosamente planejada para se concretizar nos diversos setores de estudo, permitindo a real inclusão dos candidatos cotistas. </w:t>
      </w:r>
    </w:p>
    <w:p w14:paraId="4B000DAE" w14:textId="630920F8" w:rsidR="001039B3" w:rsidRDefault="002F4224">
      <w:pPr>
        <w:pStyle w:val="NormalWeb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É imperativo destacar o mecanismo exato de locação dessas vagas, pois os candidatos que se autodeclaravam negros (pretos e pardos) tinham a prerrogativa de se inscrever em qualquer um dos Setores de Estudo ofertados pelo Edital, sendo certo que a efetiva aprovação e validação da autodeclaração de um candidato cotista em um determinado Setor de Estudo acarretava a </w:t>
      </w:r>
      <w:r w:rsidR="005F7028">
        <w:rPr>
          <w:sz w:val="22"/>
          <w:szCs w:val="22"/>
        </w:rPr>
        <w:t xml:space="preserve">automática </w:t>
      </w:r>
      <w:r>
        <w:rPr>
          <w:sz w:val="22"/>
          <w:szCs w:val="22"/>
        </w:rPr>
        <w:t>alocação da vaga reservada especificamente para aquele setor, garantindo que o percentual legal de reserva fosse distribuído e cumprido de forma granular e descentralizada em toda a estrutura acadêmica da Universidade, conforme previsto em legislação e no edital.</w:t>
      </w:r>
    </w:p>
    <w:p w14:paraId="5C19BA94" w14:textId="2E06D003" w:rsidR="001039B3" w:rsidRDefault="00000000">
      <w:pPr>
        <w:pStyle w:val="NormalWeb"/>
        <w:jc w:val="both"/>
        <w:rPr>
          <w:sz w:val="22"/>
          <w:szCs w:val="22"/>
        </w:rPr>
      </w:pPr>
      <w:r>
        <w:rPr>
          <w:sz w:val="22"/>
          <w:szCs w:val="22"/>
        </w:rPr>
        <w:t>Em decorrência da diligência administrativa empreendida pela URCA, foi constatado que o objetivo da política de cotas foi integralmente alcançado no âmbito deste certame. Todos os 04</w:t>
      </w:r>
      <w:r w:rsidR="002F422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(quatro) candidatos autodeclarados pretos </w:t>
      </w:r>
      <w:r w:rsidR="00CF230C">
        <w:rPr>
          <w:sz w:val="22"/>
          <w:szCs w:val="22"/>
        </w:rPr>
        <w:t>ou</w:t>
      </w:r>
      <w:r>
        <w:rPr>
          <w:sz w:val="22"/>
          <w:szCs w:val="22"/>
        </w:rPr>
        <w:t xml:space="preserve"> pardos que foram aprovados nas provas e tiveram suas autodeclarações devidamente validadas pela Comissão de Heteroidentificação foram convocados para os respectivos atos contratuais.</w:t>
      </w:r>
    </w:p>
    <w:p w14:paraId="6217AEF5" w14:textId="72888A4C" w:rsidR="001039B3" w:rsidRDefault="00000000">
      <w:pPr>
        <w:pStyle w:val="NormalWeb"/>
        <w:jc w:val="both"/>
        <w:rPr>
          <w:sz w:val="22"/>
          <w:szCs w:val="22"/>
        </w:rPr>
      </w:pPr>
      <w:r>
        <w:rPr>
          <w:sz w:val="22"/>
          <w:szCs w:val="22"/>
        </w:rPr>
        <w:t>Deste grupo, 03</w:t>
      </w:r>
      <w:r w:rsidR="002F4224">
        <w:rPr>
          <w:sz w:val="22"/>
          <w:szCs w:val="22"/>
        </w:rPr>
        <w:t xml:space="preserve"> </w:t>
      </w:r>
      <w:r>
        <w:rPr>
          <w:sz w:val="22"/>
          <w:szCs w:val="22"/>
        </w:rPr>
        <w:t>(três) candidatos</w:t>
      </w:r>
      <w:r w:rsidR="00BA3E9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tiveram seus contratos de professor temporário devidamente efetivados </w:t>
      </w:r>
      <w:r w:rsidR="0083602B">
        <w:rPr>
          <w:sz w:val="22"/>
          <w:szCs w:val="22"/>
        </w:rPr>
        <w:t xml:space="preserve">(nas datas de 05/09, 02/10 e 07/10 de 2025) </w:t>
      </w:r>
      <w:r>
        <w:rPr>
          <w:sz w:val="22"/>
          <w:szCs w:val="22"/>
        </w:rPr>
        <w:t>e encontram-se no pleno exercício de suas funções. Em relação ao quarto candidato aprovado, este solicitou a sua reclassificação na lista de convocação</w:t>
      </w:r>
      <w:r w:rsidR="0083602B">
        <w:rPr>
          <w:sz w:val="22"/>
          <w:szCs w:val="22"/>
        </w:rPr>
        <w:t xml:space="preserve"> (em 12/09/25)</w:t>
      </w:r>
      <w:r>
        <w:rPr>
          <w:sz w:val="22"/>
          <w:szCs w:val="22"/>
        </w:rPr>
        <w:t>, por razões de foro íntimo ligadas à sua situação funcional preexistente na própria Universidade, sendo seu pedido acolhido pela Administração, sem prejuízo à contagem de vagas.</w:t>
      </w:r>
      <w:r w:rsidR="005D71FE">
        <w:rPr>
          <w:sz w:val="22"/>
          <w:szCs w:val="22"/>
        </w:rPr>
        <w:t xml:space="preserve"> Vale ressaltar que todos estes contratos foram firmados em data </w:t>
      </w:r>
      <w:r w:rsidR="00B21339">
        <w:rPr>
          <w:sz w:val="22"/>
          <w:szCs w:val="22"/>
        </w:rPr>
        <w:t xml:space="preserve">bem </w:t>
      </w:r>
      <w:r w:rsidR="005D71FE">
        <w:rPr>
          <w:sz w:val="22"/>
          <w:szCs w:val="22"/>
        </w:rPr>
        <w:t>anterior</w:t>
      </w:r>
      <w:r w:rsidR="00974583">
        <w:rPr>
          <w:sz w:val="22"/>
          <w:szCs w:val="22"/>
        </w:rPr>
        <w:t xml:space="preserve"> </w:t>
      </w:r>
      <w:r w:rsidR="005D71FE">
        <w:rPr>
          <w:sz w:val="22"/>
          <w:szCs w:val="22"/>
        </w:rPr>
        <w:t>à decisão judicial</w:t>
      </w:r>
      <w:r w:rsidR="00974583">
        <w:rPr>
          <w:sz w:val="22"/>
          <w:szCs w:val="22"/>
        </w:rPr>
        <w:t xml:space="preserve"> prolatada.</w:t>
      </w:r>
    </w:p>
    <w:p w14:paraId="419FDC1F" w14:textId="77777777" w:rsidR="001039B3" w:rsidRDefault="00000000">
      <w:pPr>
        <w:pStyle w:val="NormalWeb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convocação e a contratação efetiva de todos os candidatos cotistas aprovados, que resultou na satisfação integral do bem da vida inicialmente pleiteado na Ação Civil Pública (Processo nº 300297-21.2025.8.06.0071), configura um fato superveniente que acarreta a perda do objeto e, </w:t>
      </w:r>
      <w:r>
        <w:rPr>
          <w:sz w:val="22"/>
          <w:szCs w:val="22"/>
        </w:rPr>
        <w:lastRenderedPageBreak/>
        <w:t>consequentemente, a ausência de interesse de agir da parte autora, tornando desnecessária a tutela jurisdicional.</w:t>
      </w:r>
    </w:p>
    <w:p w14:paraId="2CCC796A" w14:textId="3DFC3A87" w:rsidR="001039B3" w:rsidRDefault="00000000">
      <w:pPr>
        <w:pStyle w:val="NormalWeb"/>
        <w:jc w:val="both"/>
        <w:rPr>
          <w:sz w:val="22"/>
          <w:szCs w:val="22"/>
        </w:rPr>
      </w:pPr>
      <w:r>
        <w:rPr>
          <w:sz w:val="22"/>
          <w:szCs w:val="22"/>
        </w:rPr>
        <w:t>Em relação à sentença proferida nos autos do Processo nº 300297-21.2025.8.06.0071, a U</w:t>
      </w:r>
      <w:r w:rsidR="00974583">
        <w:rPr>
          <w:sz w:val="22"/>
          <w:szCs w:val="22"/>
        </w:rPr>
        <w:t xml:space="preserve">RCA </w:t>
      </w:r>
      <w:r>
        <w:rPr>
          <w:sz w:val="22"/>
          <w:szCs w:val="22"/>
        </w:rPr>
        <w:t>informa que está realizando o devido estudo técnico-jurídico da decisão. A Instituição detém prazo processual aberto para a interposição dos recursos cabíveis e utilizará de todos os meios jurídicos disponíveis para reafirmar perante o Poder Judiciário a correção e a legalidade de seus atos administrativos, notadamente a efetiva concretização das políticas de cotas.</w:t>
      </w:r>
    </w:p>
    <w:p w14:paraId="7C942060" w14:textId="247422EC" w:rsidR="005F7028" w:rsidRDefault="002F4224" w:rsidP="005F7028">
      <w:pPr>
        <w:pStyle w:val="NormalWeb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URCA </w:t>
      </w:r>
      <w:r w:rsidR="005F7028">
        <w:rPr>
          <w:sz w:val="22"/>
          <w:szCs w:val="22"/>
        </w:rPr>
        <w:t>reitera que atuou e continuará a atuar com o máximo rigor na aplicação das ações afirmativas, garantindo o respeito à Lei Estadual nº 17.432/2021 e ao Decreto Estadual nº 34.534/2022. Nossa conduta é pautada pela estrita legalidade, moralidade e publicidade administrativa, em consonância com as normas que regem as cotas no âmbito estadual.</w:t>
      </w:r>
    </w:p>
    <w:p w14:paraId="7FA330B7" w14:textId="0106116F" w:rsidR="005F7028" w:rsidRDefault="00466E63" w:rsidP="002F4224">
      <w:pPr>
        <w:pStyle w:val="NormalWeb"/>
        <w:jc w:val="both"/>
        <w:rPr>
          <w:sz w:val="22"/>
          <w:szCs w:val="22"/>
        </w:rPr>
      </w:pPr>
      <w:r>
        <w:rPr>
          <w:sz w:val="22"/>
          <w:szCs w:val="22"/>
        </w:rPr>
        <w:t>Por fim, a</w:t>
      </w:r>
      <w:r w:rsidR="005F7028">
        <w:rPr>
          <w:sz w:val="22"/>
          <w:szCs w:val="22"/>
        </w:rPr>
        <w:t xml:space="preserve"> U</w:t>
      </w:r>
      <w:r>
        <w:rPr>
          <w:sz w:val="22"/>
          <w:szCs w:val="22"/>
        </w:rPr>
        <w:t>RCA</w:t>
      </w:r>
      <w:r w:rsidR="005F7028">
        <w:rPr>
          <w:sz w:val="22"/>
          <w:szCs w:val="22"/>
        </w:rPr>
        <w:t xml:space="preserve"> </w:t>
      </w:r>
      <w:r w:rsidR="002F4224">
        <w:rPr>
          <w:sz w:val="22"/>
          <w:szCs w:val="22"/>
        </w:rPr>
        <w:t xml:space="preserve">reafirma seu compromisso inabalável com o princípio constitucional da igualdade </w:t>
      </w:r>
      <w:r w:rsidR="0090561D">
        <w:rPr>
          <w:sz w:val="22"/>
          <w:szCs w:val="22"/>
        </w:rPr>
        <w:t>material e c</w:t>
      </w:r>
      <w:r w:rsidR="002F4224">
        <w:rPr>
          <w:sz w:val="22"/>
          <w:szCs w:val="22"/>
        </w:rPr>
        <w:t xml:space="preserve">om as políticas de ações afirmativas, reconhecendo-as como instrumentos fundamentais de reparação histórica e de promoção da diversidade no serviço público. </w:t>
      </w:r>
    </w:p>
    <w:p w14:paraId="1E55D768" w14:textId="1B4D36DF" w:rsidR="001039B3" w:rsidRDefault="00000000">
      <w:pPr>
        <w:pStyle w:val="NormalWeb"/>
        <w:ind w:firstLine="1135"/>
        <w:jc w:val="right"/>
        <w:rPr>
          <w:sz w:val="22"/>
          <w:szCs w:val="22"/>
        </w:rPr>
      </w:pPr>
      <w:r>
        <w:rPr>
          <w:sz w:val="22"/>
          <w:szCs w:val="22"/>
        </w:rPr>
        <w:t>Crato</w:t>
      </w:r>
      <w:r w:rsidR="002F6EAC">
        <w:rPr>
          <w:sz w:val="22"/>
          <w:szCs w:val="22"/>
        </w:rPr>
        <w:t>-</w:t>
      </w:r>
      <w:r>
        <w:rPr>
          <w:sz w:val="22"/>
          <w:szCs w:val="22"/>
        </w:rPr>
        <w:t>CE, 26 de novembro de 2025.</w:t>
      </w:r>
    </w:p>
    <w:p w14:paraId="5E3579D6" w14:textId="0C6609AD" w:rsidR="001039B3" w:rsidRDefault="00466E6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Reitoria da Universidade Regional do Cariri - URCA</w:t>
      </w:r>
    </w:p>
    <w:sectPr w:rsidR="001039B3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F4F30" w14:textId="77777777" w:rsidR="00813B83" w:rsidRDefault="00813B83">
      <w:pPr>
        <w:spacing w:line="240" w:lineRule="auto"/>
      </w:pPr>
      <w:r>
        <w:separator/>
      </w:r>
    </w:p>
  </w:endnote>
  <w:endnote w:type="continuationSeparator" w:id="0">
    <w:p w14:paraId="29463C13" w14:textId="77777777" w:rsidR="00813B83" w:rsidRDefault="00813B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4CC06" w14:textId="77777777" w:rsidR="001039B3" w:rsidRDefault="00000000">
    <w:pPr>
      <w:pStyle w:val="Rodap"/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0BB9106B" wp14:editId="55B78BA2">
          <wp:simplePos x="0" y="0"/>
          <wp:positionH relativeFrom="column">
            <wp:posOffset>-1134110</wp:posOffset>
          </wp:positionH>
          <wp:positionV relativeFrom="paragraph">
            <wp:posOffset>71120</wp:posOffset>
          </wp:positionV>
          <wp:extent cx="7613650" cy="737235"/>
          <wp:effectExtent l="0" t="0" r="6350" b="5715"/>
          <wp:wrapNone/>
          <wp:docPr id="1" name="Imagem 1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37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/>
        <w:sz w:val="16"/>
        <w:szCs w:val="16"/>
      </w:rPr>
      <w:t>Rua Cel. Antônio Luiz, 1161 - Pimenta - CEP: 63105-000 - Crato - CE - Brasil</w:t>
    </w:r>
  </w:p>
  <w:p w14:paraId="6E03FFAF" w14:textId="77777777" w:rsidR="001039B3" w:rsidRDefault="00000000">
    <w:pPr>
      <w:pStyle w:val="Rodap"/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Tel.: (88) 3102 1212 / 1204 - E-mail: gabinete@urca.br</w:t>
    </w:r>
  </w:p>
  <w:p w14:paraId="2A74C001" w14:textId="77777777" w:rsidR="001039B3" w:rsidRDefault="001039B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1839F" w14:textId="77777777" w:rsidR="00813B83" w:rsidRDefault="00813B83">
      <w:pPr>
        <w:spacing w:after="0"/>
      </w:pPr>
      <w:r>
        <w:separator/>
      </w:r>
    </w:p>
  </w:footnote>
  <w:footnote w:type="continuationSeparator" w:id="0">
    <w:p w14:paraId="02BDD19A" w14:textId="77777777" w:rsidR="00813B83" w:rsidRDefault="00813B8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10095" w:type="dxa"/>
      <w:tblInd w:w="-69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785"/>
      <w:gridCol w:w="6855"/>
      <w:gridCol w:w="1455"/>
    </w:tblGrid>
    <w:tr w:rsidR="001039B3" w14:paraId="2F5598B4" w14:textId="77777777">
      <w:tc>
        <w:tcPr>
          <w:tcW w:w="1785" w:type="dxa"/>
        </w:tcPr>
        <w:p w14:paraId="7DA831D2" w14:textId="77777777" w:rsidR="001039B3" w:rsidRDefault="00000000">
          <w:pPr>
            <w:pStyle w:val="Cabealho"/>
          </w:pPr>
          <w:r>
            <w:rPr>
              <w:noProof/>
            </w:rPr>
            <w:drawing>
              <wp:inline distT="0" distB="0" distL="114300" distR="114300" wp14:anchorId="3EC41F84" wp14:editId="04F9E0AD">
                <wp:extent cx="1024255" cy="655955"/>
                <wp:effectExtent l="0" t="0" r="4445" b="10795"/>
                <wp:docPr id="2" name="Imagem 2" descr="urca-cinza-vertic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2" descr="urca-cinza-vertical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255" cy="6559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55" w:type="dxa"/>
        </w:tcPr>
        <w:p w14:paraId="388C5215" w14:textId="77777777" w:rsidR="001039B3" w:rsidRDefault="001039B3">
          <w:pPr>
            <w:pStyle w:val="Cabealho"/>
            <w:jc w:val="center"/>
          </w:pPr>
        </w:p>
        <w:p w14:paraId="7A35AECA" w14:textId="77777777" w:rsidR="001039B3" w:rsidRPr="00BF6117" w:rsidRDefault="00000000">
          <w:pPr>
            <w:pStyle w:val="Cabealho"/>
            <w:jc w:val="center"/>
            <w:rPr>
              <w:b/>
              <w:bCs/>
              <w:sz w:val="20"/>
              <w:szCs w:val="20"/>
            </w:rPr>
          </w:pPr>
          <w:r w:rsidRPr="00BF6117">
            <w:rPr>
              <w:rFonts w:ascii="Times New Roman" w:hAnsi="Times New Roman"/>
              <w:b/>
              <w:bCs/>
              <w:sz w:val="20"/>
              <w:szCs w:val="20"/>
            </w:rPr>
            <w:t>GOVERNO DO ESTADO DO CEARÁ</w:t>
          </w:r>
        </w:p>
        <w:p w14:paraId="787F804D" w14:textId="4EFD859A" w:rsidR="001039B3" w:rsidRPr="00BF6117" w:rsidRDefault="00000000" w:rsidP="00BF6117">
          <w:pPr>
            <w:pStyle w:val="Cabealho"/>
            <w:rPr>
              <w:rFonts w:ascii="Times New Roman" w:hAnsi="Times New Roman"/>
              <w:b/>
              <w:bCs/>
              <w:sz w:val="20"/>
              <w:szCs w:val="20"/>
            </w:rPr>
          </w:pPr>
          <w:r w:rsidRPr="00BF6117">
            <w:rPr>
              <w:rFonts w:ascii="Times New Roman" w:hAnsi="Times New Roman"/>
              <w:b/>
              <w:bCs/>
              <w:sz w:val="20"/>
              <w:szCs w:val="20"/>
            </w:rPr>
            <w:t>SECRETARIA D</w:t>
          </w:r>
          <w:r w:rsidR="00BF6117" w:rsidRPr="00BF6117">
            <w:rPr>
              <w:rFonts w:ascii="Times New Roman" w:hAnsi="Times New Roman"/>
              <w:b/>
              <w:bCs/>
              <w:sz w:val="20"/>
              <w:szCs w:val="20"/>
            </w:rPr>
            <w:t>A</w:t>
          </w:r>
          <w:r w:rsidRPr="00BF6117">
            <w:rPr>
              <w:rFonts w:ascii="Times New Roman" w:hAnsi="Times New Roman"/>
              <w:b/>
              <w:bCs/>
              <w:sz w:val="20"/>
              <w:szCs w:val="20"/>
            </w:rPr>
            <w:t xml:space="preserve"> CIÊNCIA, TECNOLOGIA E E</w:t>
          </w:r>
          <w:r w:rsidR="00BF6117" w:rsidRPr="00BF6117">
            <w:rPr>
              <w:rFonts w:ascii="Times New Roman" w:hAnsi="Times New Roman"/>
              <w:b/>
              <w:bCs/>
              <w:sz w:val="20"/>
              <w:szCs w:val="20"/>
            </w:rPr>
            <w:t xml:space="preserve">DUCAÇÃO </w:t>
          </w:r>
          <w:r w:rsidRPr="00BF6117">
            <w:rPr>
              <w:rFonts w:ascii="Times New Roman" w:hAnsi="Times New Roman"/>
              <w:b/>
              <w:bCs/>
              <w:sz w:val="20"/>
              <w:szCs w:val="20"/>
            </w:rPr>
            <w:t>SUPERIOR</w:t>
          </w:r>
        </w:p>
        <w:p w14:paraId="4E6A132A" w14:textId="77777777" w:rsidR="001039B3" w:rsidRPr="00BF6117" w:rsidRDefault="00000000">
          <w:pPr>
            <w:pStyle w:val="Cabealho"/>
            <w:jc w:val="center"/>
            <w:rPr>
              <w:rFonts w:ascii="Times New Roman" w:hAnsi="Times New Roman"/>
              <w:b/>
              <w:bCs/>
              <w:sz w:val="20"/>
              <w:szCs w:val="20"/>
            </w:rPr>
          </w:pPr>
          <w:r w:rsidRPr="00BF6117">
            <w:rPr>
              <w:rFonts w:ascii="Times New Roman" w:hAnsi="Times New Roman"/>
              <w:b/>
              <w:bCs/>
              <w:sz w:val="20"/>
              <w:szCs w:val="20"/>
            </w:rPr>
            <w:t>UNIVERSIDADE REGIONAL DO CARIRI</w:t>
          </w:r>
        </w:p>
        <w:p w14:paraId="566E2293" w14:textId="77777777" w:rsidR="001039B3" w:rsidRDefault="00000000">
          <w:pPr>
            <w:pStyle w:val="Cabealho"/>
            <w:jc w:val="center"/>
            <w:rPr>
              <w:rFonts w:ascii="Times New Roman" w:hAnsi="Times New Roman"/>
            </w:rPr>
          </w:pPr>
          <w:r w:rsidRPr="00BF6117">
            <w:rPr>
              <w:rFonts w:ascii="Times New Roman" w:hAnsi="Times New Roman"/>
              <w:b/>
              <w:bCs/>
              <w:sz w:val="20"/>
              <w:szCs w:val="20"/>
            </w:rPr>
            <w:t>GABINETE DA REITORIA</w:t>
          </w:r>
        </w:p>
      </w:tc>
      <w:tc>
        <w:tcPr>
          <w:tcW w:w="1455" w:type="dxa"/>
        </w:tcPr>
        <w:p w14:paraId="5A3145F4" w14:textId="77777777" w:rsidR="001039B3" w:rsidRDefault="00000000">
          <w:pPr>
            <w:pStyle w:val="Cabealho"/>
            <w:jc w:val="right"/>
          </w:pPr>
          <w:r>
            <w:rPr>
              <w:noProof/>
            </w:rPr>
            <w:drawing>
              <wp:inline distT="0" distB="0" distL="114300" distR="114300" wp14:anchorId="012CF889" wp14:editId="35474F46">
                <wp:extent cx="806450" cy="773430"/>
                <wp:effectExtent l="0" t="0" r="12700" b="7620"/>
                <wp:docPr id="3" name="Imagem 3" descr="logo-gov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o-gov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rcRect l="10235" t="7023" r="697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6450" cy="7734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1CFFCEC" w14:textId="77777777" w:rsidR="001039B3" w:rsidRDefault="001039B3">
    <w:pPr>
      <w:pStyle w:val="Cabealho"/>
    </w:pPr>
  </w:p>
  <w:p w14:paraId="2326A0CF" w14:textId="77777777" w:rsidR="001039B3" w:rsidRDefault="001039B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D9E445F"/>
    <w:rsid w:val="00030626"/>
    <w:rsid w:val="000343DB"/>
    <w:rsid w:val="00093D6D"/>
    <w:rsid w:val="000D0D5D"/>
    <w:rsid w:val="000F72E3"/>
    <w:rsid w:val="001039B3"/>
    <w:rsid w:val="00114B9C"/>
    <w:rsid w:val="00136D24"/>
    <w:rsid w:val="00177441"/>
    <w:rsid w:val="0018060C"/>
    <w:rsid w:val="001A3689"/>
    <w:rsid w:val="001F7226"/>
    <w:rsid w:val="002362F9"/>
    <w:rsid w:val="00260820"/>
    <w:rsid w:val="00280936"/>
    <w:rsid w:val="00297B47"/>
    <w:rsid w:val="002D7F4A"/>
    <w:rsid w:val="002F4224"/>
    <w:rsid w:val="002F6EAC"/>
    <w:rsid w:val="003314D4"/>
    <w:rsid w:val="003A09BA"/>
    <w:rsid w:val="003A2BD1"/>
    <w:rsid w:val="003C38D9"/>
    <w:rsid w:val="003D19C8"/>
    <w:rsid w:val="00430A46"/>
    <w:rsid w:val="00440488"/>
    <w:rsid w:val="00453DF8"/>
    <w:rsid w:val="00466E63"/>
    <w:rsid w:val="00467522"/>
    <w:rsid w:val="00495D77"/>
    <w:rsid w:val="004B0D82"/>
    <w:rsid w:val="0052513E"/>
    <w:rsid w:val="0055293D"/>
    <w:rsid w:val="00580728"/>
    <w:rsid w:val="005842B6"/>
    <w:rsid w:val="00596950"/>
    <w:rsid w:val="005D71FE"/>
    <w:rsid w:val="005E6589"/>
    <w:rsid w:val="005F43D8"/>
    <w:rsid w:val="005F7028"/>
    <w:rsid w:val="006511EC"/>
    <w:rsid w:val="00660EAC"/>
    <w:rsid w:val="006868CC"/>
    <w:rsid w:val="006A1CC4"/>
    <w:rsid w:val="006B2BC0"/>
    <w:rsid w:val="006E7210"/>
    <w:rsid w:val="00703CDA"/>
    <w:rsid w:val="007212DB"/>
    <w:rsid w:val="007216B0"/>
    <w:rsid w:val="00726F37"/>
    <w:rsid w:val="00757F11"/>
    <w:rsid w:val="007649BD"/>
    <w:rsid w:val="007A10D2"/>
    <w:rsid w:val="007B5EE0"/>
    <w:rsid w:val="00813B83"/>
    <w:rsid w:val="0083602B"/>
    <w:rsid w:val="008A6B85"/>
    <w:rsid w:val="008C217D"/>
    <w:rsid w:val="0090561D"/>
    <w:rsid w:val="00964856"/>
    <w:rsid w:val="00974583"/>
    <w:rsid w:val="009B384E"/>
    <w:rsid w:val="00A625E1"/>
    <w:rsid w:val="00A710DF"/>
    <w:rsid w:val="00AD6AB1"/>
    <w:rsid w:val="00B00E16"/>
    <w:rsid w:val="00B21339"/>
    <w:rsid w:val="00B27A95"/>
    <w:rsid w:val="00BA3E9F"/>
    <w:rsid w:val="00BB148D"/>
    <w:rsid w:val="00BF6117"/>
    <w:rsid w:val="00C73074"/>
    <w:rsid w:val="00C92053"/>
    <w:rsid w:val="00CB25C6"/>
    <w:rsid w:val="00CF230C"/>
    <w:rsid w:val="00D04344"/>
    <w:rsid w:val="00D46063"/>
    <w:rsid w:val="00D46403"/>
    <w:rsid w:val="00D84809"/>
    <w:rsid w:val="00D91FAA"/>
    <w:rsid w:val="00E064F3"/>
    <w:rsid w:val="00E55E77"/>
    <w:rsid w:val="00E736A3"/>
    <w:rsid w:val="00F31940"/>
    <w:rsid w:val="00F342ED"/>
    <w:rsid w:val="00F72ADF"/>
    <w:rsid w:val="00FB3224"/>
    <w:rsid w:val="00FE6047"/>
    <w:rsid w:val="26B35928"/>
    <w:rsid w:val="2D9E445F"/>
    <w:rsid w:val="4574665E"/>
    <w:rsid w:val="4E994E1B"/>
    <w:rsid w:val="577A105E"/>
    <w:rsid w:val="640F5B65"/>
    <w:rsid w:val="650D50B6"/>
    <w:rsid w:val="69AE046D"/>
    <w:rsid w:val="70C50F0F"/>
    <w:rsid w:val="756A2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5985D5"/>
  <w15:docId w15:val="{2F1E3531-FE9E-4935-A7ED-001B5F9E1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Ttulo1">
    <w:name w:val="heading 1"/>
    <w:basedOn w:val="Normal"/>
    <w:uiPriority w:val="1"/>
    <w:qFormat/>
    <w:pPr>
      <w:ind w:left="101"/>
      <w:outlineLvl w:val="0"/>
    </w:pPr>
    <w:rPr>
      <w:rFonts w:ascii="Arial" w:eastAsia="Arial" w:hAnsi="Arial" w:cs="Arial"/>
      <w:b/>
      <w:bCs/>
      <w:sz w:val="24"/>
      <w:szCs w:val="24"/>
      <w:lang w:val="pt-PT"/>
    </w:rPr>
  </w:style>
  <w:style w:type="paragraph" w:styleId="Ttulo2">
    <w:name w:val="heading 2"/>
    <w:next w:val="Normal"/>
    <w:semiHidden/>
    <w:unhideWhenUsed/>
    <w:qFormat/>
    <w:pPr>
      <w:spacing w:beforeAutospacing="1" w:afterAutospacing="1"/>
      <w:outlineLvl w:val="1"/>
    </w:pPr>
    <w:rPr>
      <w:rFonts w:ascii="SimSun" w:hAnsi="SimSun" w:hint="eastAsia"/>
      <w:b/>
      <w:bCs/>
      <w:i/>
      <w:sz w:val="36"/>
      <w:szCs w:val="36"/>
      <w:lang w:val="en-US" w:eastAsia="zh-CN"/>
    </w:rPr>
  </w:style>
  <w:style w:type="paragraph" w:styleId="Ttulo3">
    <w:name w:val="heading 3"/>
    <w:next w:val="Normal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4">
    <w:name w:val="heading 4"/>
    <w:next w:val="Normal"/>
    <w:semiHidden/>
    <w:unhideWhenUsed/>
    <w:qFormat/>
    <w:pPr>
      <w:spacing w:beforeAutospacing="1" w:afterAutospacing="1"/>
      <w:outlineLvl w:val="3"/>
    </w:pPr>
    <w:rPr>
      <w:rFonts w:ascii="SimSun" w:hAnsi="SimSun" w:hint="eastAsia"/>
      <w:b/>
      <w:bCs/>
      <w:sz w:val="24"/>
      <w:szCs w:val="24"/>
      <w:lang w:val="en-US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qFormat/>
    <w:rPr>
      <w:b/>
      <w:bCs/>
    </w:rPr>
  </w:style>
  <w:style w:type="character" w:styleId="nfase">
    <w:name w:val="Emphasis"/>
    <w:basedOn w:val="Fontepargpadro"/>
    <w:qFormat/>
    <w:rPr>
      <w:i/>
      <w:iCs/>
    </w:rPr>
  </w:style>
  <w:style w:type="character" w:styleId="Hyperlink">
    <w:name w:val="Hyperlink"/>
    <w:basedOn w:val="Fontepargpadro"/>
    <w:qFormat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pPr>
      <w:spacing w:before="120" w:after="120" w:line="259" w:lineRule="auto"/>
      <w:ind w:left="720"/>
      <w:contextualSpacing/>
      <w:jc w:val="both"/>
    </w:pPr>
    <w:rPr>
      <w:rFonts w:asciiTheme="minorHAnsi" w:eastAsiaTheme="minorHAnsi" w:hAnsiTheme="minorHAnsi" w:cstheme="minorBidi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698</Words>
  <Characters>4067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LARISSA DE MORAES SOUSA</dc:creator>
  <cp:lastModifiedBy>Carlos Kleber Nascimento de Oliveira</cp:lastModifiedBy>
  <cp:revision>13</cp:revision>
  <dcterms:created xsi:type="dcterms:W3CDTF">2025-11-26T15:18:00Z</dcterms:created>
  <dcterms:modified xsi:type="dcterms:W3CDTF">2025-11-26T19:26:00Z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2CBBB5A4FE744B5DA07E4D1188BDAF55_13</vt:lpwstr>
  </property>
</Properties>
</file>